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DE" w:rsidRPr="00745E10" w:rsidRDefault="00124DDE" w:rsidP="00745E10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45E10">
        <w:rPr>
          <w:rFonts w:ascii="Arial" w:hAnsi="Arial" w:cs="Arial"/>
          <w:color w:val="000000"/>
        </w:rPr>
        <w:t>Na temelju članka 9. stavka 1. točke 1. Zakona o morskom ribarstvu (»Narodne novine«, broj 81/2013, 14/2014 i 152/2014) ministar poljoprivrede donosi</w:t>
      </w:r>
    </w:p>
    <w:p w:rsidR="00124DDE" w:rsidRPr="00745E10" w:rsidRDefault="00124DDE" w:rsidP="00745E10">
      <w:pPr>
        <w:pStyle w:val="tb-na16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</w:p>
    <w:p w:rsidR="00124DDE" w:rsidRPr="00745E10" w:rsidRDefault="00124DDE" w:rsidP="00745E10">
      <w:pPr>
        <w:pStyle w:val="tb-na16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745E10">
        <w:rPr>
          <w:rFonts w:ascii="Arial" w:hAnsi="Arial" w:cs="Arial"/>
          <w:color w:val="000000"/>
          <w:sz w:val="24"/>
          <w:szCs w:val="24"/>
        </w:rPr>
        <w:t>PRAVILNIK</w:t>
      </w:r>
    </w:p>
    <w:p w:rsidR="00124DDE" w:rsidRPr="00745E10" w:rsidRDefault="00124DDE" w:rsidP="00745E10">
      <w:pPr>
        <w:pStyle w:val="t-12-9-fett-s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745E10">
        <w:rPr>
          <w:rFonts w:ascii="Arial" w:hAnsi="Arial" w:cs="Arial"/>
          <w:color w:val="000000"/>
          <w:sz w:val="24"/>
          <w:szCs w:val="24"/>
        </w:rPr>
        <w:t>O PROSTORNOM I VREMENSKOM OGRANIČENJU OBAVLJANJA GOSPODARSKOG RIBOLOVA NA MORU OKRUŽUJUĆOM MREŽOM PLIVARICOM – SRDELAROM U 2015. GODINI</w:t>
      </w:r>
    </w:p>
    <w:p w:rsidR="00124DDE" w:rsidRPr="00745E10" w:rsidRDefault="00124DDE" w:rsidP="00745E10">
      <w:pPr>
        <w:pStyle w:val="clanak-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4DDE" w:rsidRPr="00745E10" w:rsidRDefault="00124DDE" w:rsidP="00745E10">
      <w:pPr>
        <w:pStyle w:val="clanak-"/>
        <w:spacing w:before="0" w:beforeAutospacing="0" w:after="0" w:afterAutospacing="0"/>
        <w:rPr>
          <w:rFonts w:ascii="Arial" w:hAnsi="Arial" w:cs="Arial"/>
          <w:color w:val="000000"/>
        </w:rPr>
      </w:pPr>
      <w:r w:rsidRPr="00745E10">
        <w:rPr>
          <w:rFonts w:ascii="Arial" w:hAnsi="Arial" w:cs="Arial"/>
          <w:color w:val="000000"/>
        </w:rPr>
        <w:t>Članak 1.</w:t>
      </w:r>
    </w:p>
    <w:p w:rsidR="00124DDE" w:rsidRPr="00745E10" w:rsidRDefault="00124DDE" w:rsidP="00745E10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45E10">
        <w:rPr>
          <w:rFonts w:ascii="Arial" w:hAnsi="Arial" w:cs="Arial"/>
          <w:color w:val="000000"/>
        </w:rPr>
        <w:t xml:space="preserve">Ovim Pravilnikom propisuje se prostorno i vremensko ograničenje obavljanja gospodarskog ribolova na moru okružujućom mrežom </w:t>
      </w:r>
      <w:proofErr w:type="spellStart"/>
      <w:r w:rsidRPr="00745E10">
        <w:rPr>
          <w:rFonts w:ascii="Arial" w:hAnsi="Arial" w:cs="Arial"/>
          <w:color w:val="000000"/>
        </w:rPr>
        <w:t>plivaricom</w:t>
      </w:r>
      <w:proofErr w:type="spellEnd"/>
      <w:r w:rsidRPr="00745E10">
        <w:rPr>
          <w:rFonts w:ascii="Arial" w:hAnsi="Arial" w:cs="Arial"/>
          <w:color w:val="000000"/>
        </w:rPr>
        <w:t xml:space="preserve"> – </w:t>
      </w:r>
      <w:proofErr w:type="spellStart"/>
      <w:r w:rsidRPr="00745E10">
        <w:rPr>
          <w:rFonts w:ascii="Arial" w:hAnsi="Arial" w:cs="Arial"/>
          <w:color w:val="000000"/>
        </w:rPr>
        <w:t>srdelarom</w:t>
      </w:r>
      <w:proofErr w:type="spellEnd"/>
      <w:r w:rsidRPr="00745E10">
        <w:rPr>
          <w:rFonts w:ascii="Arial" w:hAnsi="Arial" w:cs="Arial"/>
          <w:color w:val="000000"/>
        </w:rPr>
        <w:t xml:space="preserve"> u 2015. godini.</w:t>
      </w:r>
    </w:p>
    <w:p w:rsidR="00124DDE" w:rsidRPr="00745E10" w:rsidRDefault="00124DDE" w:rsidP="00745E10">
      <w:pPr>
        <w:pStyle w:val="clanak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4DDE" w:rsidRPr="00745E10" w:rsidRDefault="00124DDE" w:rsidP="00745E10">
      <w:pPr>
        <w:pStyle w:val="clanak"/>
        <w:spacing w:before="0" w:beforeAutospacing="0" w:after="0" w:afterAutospacing="0"/>
        <w:rPr>
          <w:rFonts w:ascii="Arial" w:hAnsi="Arial" w:cs="Arial"/>
          <w:color w:val="000000"/>
        </w:rPr>
      </w:pPr>
      <w:r w:rsidRPr="00745E10">
        <w:rPr>
          <w:rFonts w:ascii="Arial" w:hAnsi="Arial" w:cs="Arial"/>
          <w:color w:val="000000"/>
        </w:rPr>
        <w:t>Članak 2.</w:t>
      </w:r>
    </w:p>
    <w:p w:rsidR="00124DDE" w:rsidRPr="00745E10" w:rsidRDefault="00124DDE" w:rsidP="00745E10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45E10">
        <w:rPr>
          <w:rFonts w:ascii="Arial" w:hAnsi="Arial" w:cs="Arial"/>
          <w:color w:val="000000"/>
        </w:rPr>
        <w:t xml:space="preserve">Ribolov plovilima koji obavljaju ribolov okružujućom mrežom </w:t>
      </w:r>
      <w:proofErr w:type="spellStart"/>
      <w:r w:rsidRPr="00745E10">
        <w:rPr>
          <w:rFonts w:ascii="Arial" w:hAnsi="Arial" w:cs="Arial"/>
          <w:color w:val="000000"/>
        </w:rPr>
        <w:t>plivaricom</w:t>
      </w:r>
      <w:proofErr w:type="spellEnd"/>
      <w:r w:rsidRPr="00745E10">
        <w:rPr>
          <w:rFonts w:ascii="Arial" w:hAnsi="Arial" w:cs="Arial"/>
          <w:color w:val="000000"/>
        </w:rPr>
        <w:t xml:space="preserve"> – </w:t>
      </w:r>
      <w:proofErr w:type="spellStart"/>
      <w:r w:rsidRPr="00745E10">
        <w:rPr>
          <w:rFonts w:ascii="Arial" w:hAnsi="Arial" w:cs="Arial"/>
          <w:color w:val="000000"/>
        </w:rPr>
        <w:t>srdelarom</w:t>
      </w:r>
      <w:proofErr w:type="spellEnd"/>
      <w:r w:rsidRPr="00745E10">
        <w:rPr>
          <w:rFonts w:ascii="Arial" w:hAnsi="Arial" w:cs="Arial"/>
          <w:color w:val="000000"/>
        </w:rPr>
        <w:t xml:space="preserve"> zabranjen je u cijelom ribolovnom moru Republike Hrvatske u razdoblju od 15. siječnja 2015. godine u 12:00 sati do 31. siječnja 2015. godine 12:00 sati</w:t>
      </w:r>
      <w:r w:rsidR="00115C4E" w:rsidRPr="00745E10">
        <w:rPr>
          <w:rFonts w:ascii="Arial" w:hAnsi="Arial" w:cs="Arial"/>
          <w:color w:val="000000"/>
        </w:rPr>
        <w:t xml:space="preserve"> </w:t>
      </w:r>
      <w:r w:rsidR="00115C4E" w:rsidRPr="00745E10">
        <w:rPr>
          <w:rFonts w:ascii="Arial" w:eastAsia="Times New Roman" w:hAnsi="Arial" w:cs="Arial"/>
          <w:color w:val="548DD4" w:themeColor="text2" w:themeTint="99"/>
        </w:rPr>
        <w:t xml:space="preserve">i u razdoblju od 1. svibnja 2015. godine u 12:00 sati do 31. svibnja 2015. godine u 12:00 </w:t>
      </w:r>
      <w:proofErr w:type="spellStart"/>
      <w:r w:rsidR="00115C4E" w:rsidRPr="00745E10">
        <w:rPr>
          <w:rFonts w:ascii="Arial" w:eastAsia="Times New Roman" w:hAnsi="Arial" w:cs="Arial"/>
          <w:color w:val="548DD4" w:themeColor="text2" w:themeTint="99"/>
        </w:rPr>
        <w:t>sati.</w:t>
      </w:r>
      <w:proofErr w:type="spellEnd"/>
      <w:r w:rsidRPr="00745E10">
        <w:rPr>
          <w:rFonts w:ascii="Arial" w:hAnsi="Arial" w:cs="Arial"/>
          <w:color w:val="000000"/>
        </w:rPr>
        <w:t>.</w:t>
      </w:r>
    </w:p>
    <w:p w:rsidR="00745E10" w:rsidRPr="00745E10" w:rsidRDefault="00745E10" w:rsidP="00745E10">
      <w:pPr>
        <w:jc w:val="center"/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>Članak 3.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 xml:space="preserve">(1) Ribolov plovilima duljim od 12 metara preko svega koja obavljaju ribolov okružujućom mrežom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plivaricom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srdelarom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</w:t>
      </w:r>
      <w:r w:rsidRPr="00745E10">
        <w:rPr>
          <w:rFonts w:eastAsia="Times New Roman" w:cs="Arial"/>
          <w:b/>
          <w:color w:val="FF0000"/>
          <w:szCs w:val="24"/>
          <w:lang w:eastAsia="hr-HR"/>
        </w:rPr>
        <w:t>zabranjen je</w:t>
      </w:r>
      <w:r w:rsidRPr="00745E10">
        <w:rPr>
          <w:rFonts w:eastAsia="Times New Roman" w:cs="Arial"/>
          <w:color w:val="FF0000"/>
          <w:szCs w:val="24"/>
          <w:lang w:eastAsia="hr-HR"/>
        </w:rPr>
        <w:t xml:space="preserve"> u razdoblju od dana stupanja na snagu ovoga Pravilnika </w:t>
      </w:r>
      <w:r w:rsidRPr="00745E10">
        <w:rPr>
          <w:rFonts w:eastAsia="Times New Roman" w:cs="Arial"/>
          <w:b/>
          <w:color w:val="FF0000"/>
          <w:szCs w:val="24"/>
          <w:lang w:eastAsia="hr-HR"/>
        </w:rPr>
        <w:t>u 12:00 sati do 5. studenoga 2015. godine u 12:00</w:t>
      </w:r>
      <w:r w:rsidRPr="00745E10">
        <w:rPr>
          <w:rFonts w:eastAsia="Times New Roman" w:cs="Arial"/>
          <w:color w:val="FF0000"/>
          <w:szCs w:val="24"/>
          <w:lang w:eastAsia="hr-HR"/>
        </w:rPr>
        <w:t xml:space="preserve"> u dijelovima unutarnjega ribolovnog mora kako slijedi: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 xml:space="preserve">a. Područje omeđeno spojnicama: Stobreč – Rt Gomilica (o. Brač)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Sumartin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Brač) – Uvala Zavala (o. Hvar)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Nedija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Hvar)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Šćedra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(zapad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Šćedro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) – Rt vrh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Šćedra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(istok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Šćedro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) –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Prigradica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Korčula) –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Trstena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Korčula)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Osičac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(Pelješac) (Prilog 1.)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 xml:space="preserve">b. Područje omeđeno spojnicama: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Artić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Privlaka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) – Rt Križ (o.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Sestrunj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) –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Japleniški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Sestrunj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Ovčjak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Ugljan) – Mali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Ždrelac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Rasovica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Pašman) – zapadni rt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Balabra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Vela – zapadni rt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Kurba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Mala – istočni rt o. Glamoč – zapadni rt o. Žut – južni rt o. Žut –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Čavlin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Čerigul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Rt Rat (o. Murter)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Obinuš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(Prilog 2.)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 xml:space="preserve">c. Područje omeđeno spojnicama: svjetionik Novi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Vinodoloski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svjetionik Vrbnik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Glavotok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Krk)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Groda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Cres) – Rt Lučica (o. Cres) – o.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Morovnik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Šip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Olib) – Rt Ploče (o. Olib) – Rt Vrulja (o. Vir) – Virski most – Rt Tanka Nožica – Dugi rt (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Tribanj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>) (Prilog 3.)</w:t>
      </w:r>
    </w:p>
    <w:p w:rsidR="00745E10" w:rsidRPr="00745E10" w:rsidRDefault="00745E10" w:rsidP="00745E10">
      <w:pPr>
        <w:rPr>
          <w:rFonts w:eastAsia="Times New Roman" w:cs="Arial"/>
          <w:b/>
          <w:color w:val="FF0000"/>
          <w:szCs w:val="24"/>
          <w:lang w:eastAsia="hr-HR"/>
        </w:rPr>
      </w:pPr>
      <w:r w:rsidRPr="00745E10">
        <w:rPr>
          <w:rFonts w:eastAsia="Times New Roman" w:cs="Arial"/>
          <w:b/>
          <w:color w:val="FF0000"/>
          <w:szCs w:val="24"/>
          <w:lang w:eastAsia="hr-HR"/>
        </w:rPr>
        <w:t>d. Zapadna obala Istre – područje unutar 2NM od obale, sjeverno od crte 44°57’ (Prilog 4.)</w:t>
      </w:r>
    </w:p>
    <w:p w:rsidR="00384E91" w:rsidRDefault="00384E91" w:rsidP="00745E10">
      <w:pPr>
        <w:rPr>
          <w:rFonts w:eastAsia="Times New Roman" w:cs="Arial"/>
          <w:color w:val="FF0000"/>
          <w:szCs w:val="24"/>
          <w:lang w:eastAsia="hr-HR"/>
        </w:rPr>
      </w:pP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 xml:space="preserve">(2) Ribolov plovilima duljim od 12 metara preko svega koja obavljaju ribolov okružujućom mrežom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plivaricom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srdelarom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zabranjen je u razdoblju od dana stupanja na snagu ovoga Pravilnika u 12:00 sati do 1. listopada 2015. godine u 12:00 sati u dijelu unutarnjeg ribolovnog mora omeđenog spojnicama: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Martinščica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(Rijeka) –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Prapratni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rt (o. Cres)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Groda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Cres)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Glavotok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(o. Krk) – zapadni rt Omišaljskog zaljeva –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Martinščica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>. (Prilog 5.)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 xml:space="preserve">(3) Ribolov plovilima duljim od 12 metara preko svega koja obavljaju ribolov okružujućom mrežom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plivaricom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–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srdelarom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zabranjen je u razdoblju od 1. listopada 2015. godine u 12:00 do 5. studenoga 2015. godine u 12:00 sati u dijelu unutarnjeg </w:t>
      </w:r>
      <w:r w:rsidRPr="00745E10">
        <w:rPr>
          <w:rFonts w:eastAsia="Times New Roman" w:cs="Arial"/>
          <w:color w:val="FF0000"/>
          <w:szCs w:val="24"/>
          <w:lang w:eastAsia="hr-HR"/>
        </w:rPr>
        <w:lastRenderedPageBreak/>
        <w:t xml:space="preserve">ribolovnog mora omeđenog spojnicama: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Martinščica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(Rijeka) – Rt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Šip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Brseč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) – Rt Banja (o. Cres) –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Prapratni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rt (o. Cres) – uvala </w:t>
      </w:r>
      <w:proofErr w:type="spellStart"/>
      <w:r w:rsidRPr="00745E10">
        <w:rPr>
          <w:rFonts w:eastAsia="Times New Roman" w:cs="Arial"/>
          <w:color w:val="FF0000"/>
          <w:szCs w:val="24"/>
          <w:lang w:eastAsia="hr-HR"/>
        </w:rPr>
        <w:t>Martinščica</w:t>
      </w:r>
      <w:proofErr w:type="spellEnd"/>
      <w:r w:rsidRPr="00745E10">
        <w:rPr>
          <w:rFonts w:eastAsia="Times New Roman" w:cs="Arial"/>
          <w:color w:val="FF0000"/>
          <w:szCs w:val="24"/>
          <w:lang w:eastAsia="hr-HR"/>
        </w:rPr>
        <w:t xml:space="preserve"> (Prilog 6.)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>(4) Karte područja iz stavaka 1., 2. i 3. ovoga članka tiskane su uz ovaj Pravilnik i njegov su sastavni dio.«</w:t>
      </w:r>
    </w:p>
    <w:p w:rsidR="00745E10" w:rsidRPr="00745E10" w:rsidRDefault="00745E10" w:rsidP="00745E10">
      <w:pPr>
        <w:jc w:val="center"/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>Članak 4.</w:t>
      </w:r>
    </w:p>
    <w:p w:rsidR="00124DDE" w:rsidRPr="00745E10" w:rsidRDefault="00124DDE" w:rsidP="00745E10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45E10">
        <w:rPr>
          <w:rFonts w:ascii="Arial" w:hAnsi="Arial" w:cs="Arial"/>
          <w:color w:val="000000"/>
        </w:rPr>
        <w:t>Ovaj Pravilnik stupa na snagu prvog dana nakon dana objave u »Narodnim novinama«.</w:t>
      </w:r>
    </w:p>
    <w:p w:rsidR="00745E10" w:rsidRPr="00745E10" w:rsidRDefault="00745E10" w:rsidP="00745E10">
      <w:pPr>
        <w:jc w:val="center"/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>Članak 4.</w:t>
      </w:r>
    </w:p>
    <w:p w:rsidR="00745E10" w:rsidRPr="00745E10" w:rsidRDefault="00745E10" w:rsidP="00745E10">
      <w:pPr>
        <w:rPr>
          <w:rFonts w:eastAsia="Times New Roman" w:cs="Arial"/>
          <w:color w:val="FF0000"/>
          <w:szCs w:val="24"/>
          <w:lang w:eastAsia="hr-HR"/>
        </w:rPr>
      </w:pPr>
      <w:r w:rsidRPr="00745E10">
        <w:rPr>
          <w:rFonts w:eastAsia="Times New Roman" w:cs="Arial"/>
          <w:color w:val="FF0000"/>
          <w:szCs w:val="24"/>
          <w:lang w:eastAsia="hr-HR"/>
        </w:rPr>
        <w:t>Ovaj Pravilnik stupa na snagu osmog dana od dana objave u »Narodnim novinama«</w:t>
      </w:r>
      <w:r w:rsidR="00ED2BE1">
        <w:rPr>
          <w:rFonts w:eastAsia="Times New Roman" w:cs="Arial"/>
          <w:color w:val="FF0000"/>
          <w:szCs w:val="24"/>
          <w:lang w:eastAsia="hr-HR"/>
        </w:rPr>
        <w:t xml:space="preserve"> odnosno 15.kolovoza 2015.</w:t>
      </w:r>
      <w:r w:rsidRPr="00745E10">
        <w:rPr>
          <w:rFonts w:eastAsia="Times New Roman" w:cs="Arial"/>
          <w:color w:val="FF0000"/>
          <w:szCs w:val="24"/>
          <w:lang w:eastAsia="hr-HR"/>
        </w:rPr>
        <w:t>.</w:t>
      </w:r>
    </w:p>
    <w:p w:rsidR="00745E10" w:rsidRDefault="00745E10" w:rsidP="00124DDE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45E10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384E91" w:rsidRPr="00745E10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45E1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PRILOG 1.</w:t>
      </w:r>
      <w:r w:rsidR="00384E91" w:rsidRPr="00384E9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384E9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                                                                     </w:t>
      </w:r>
      <w:r w:rsidR="00384E91" w:rsidRPr="00745E1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PRILOG 2.</w:t>
      </w:r>
    </w:p>
    <w:p w:rsidR="00745E10" w:rsidRPr="00745E10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745E10" w:rsidRPr="00745E10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lang w:eastAsia="hr-HR"/>
        </w:rPr>
        <w:drawing>
          <wp:inline distT="0" distB="0" distL="0" distR="0" wp14:anchorId="24E3D19C" wp14:editId="52ED26FC">
            <wp:extent cx="2344943" cy="1710902"/>
            <wp:effectExtent l="0" t="0" r="0" b="3810"/>
            <wp:docPr id="6" name="Slika 6" descr="http://narodne-novine.nn.hr/clanci/sluzbeni/dodatni/4372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rodne-novine.nn.hr/clanci/sluzbeni/dodatni/43723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943" cy="171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E9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       </w:t>
      </w:r>
      <w:r w:rsidR="00384E91">
        <w:rPr>
          <w:rFonts w:ascii="Times New Roman" w:eastAsia="Times New Roman" w:hAnsi="Times New Roman" w:cs="Times New Roman"/>
          <w:noProof/>
          <w:color w:val="000000"/>
          <w:szCs w:val="24"/>
          <w:lang w:eastAsia="hr-HR"/>
        </w:rPr>
        <w:drawing>
          <wp:inline distT="0" distB="0" distL="0" distR="0" wp14:anchorId="6EFD7F2A" wp14:editId="0E04647F">
            <wp:extent cx="2543175" cy="1720264"/>
            <wp:effectExtent l="0" t="0" r="0" b="0"/>
            <wp:docPr id="5" name="Slika 5" descr="http://narodne-novine.nn.hr/clanci/sluzbeni/dodatni/4372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arodne-novine.nn.hr/clanci/sluzbeni/dodatni/43723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72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E10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384E91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 w:rsidRPr="00745E1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PRILOG 3.</w:t>
      </w:r>
      <w:r w:rsidR="00384E91" w:rsidRPr="00384E9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</w:t>
      </w:r>
      <w:r w:rsidR="00384E91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                                                                   </w:t>
      </w:r>
      <w:r w:rsidR="00384E91" w:rsidRPr="00745E1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PRILOG 4.</w:t>
      </w:r>
    </w:p>
    <w:p w:rsidR="00384E91" w:rsidRPr="00745E10" w:rsidRDefault="00384E91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                                       </w:t>
      </w:r>
    </w:p>
    <w:p w:rsidR="00384E91" w:rsidRDefault="00384E91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lang w:eastAsia="hr-HR"/>
        </w:rPr>
        <w:drawing>
          <wp:inline distT="0" distB="0" distL="0" distR="0" wp14:anchorId="599027BD" wp14:editId="0A516211">
            <wp:extent cx="2517298" cy="1845308"/>
            <wp:effectExtent l="0" t="0" r="0" b="3175"/>
            <wp:docPr id="4" name="Slika 4" descr="http://narodne-novine.nn.hr/clanci/sluzbeni/dodatni/4372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narodne-novine.nn.hr/clanci/sluzbeni/dodatni/437234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165" cy="184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  </w:t>
      </w:r>
      <w:r>
        <w:rPr>
          <w:rFonts w:ascii="Times New Roman" w:eastAsia="Times New Roman" w:hAnsi="Times New Roman" w:cs="Times New Roman"/>
          <w:noProof/>
          <w:color w:val="000000"/>
          <w:szCs w:val="24"/>
          <w:lang w:eastAsia="hr-HR"/>
        </w:rPr>
        <w:drawing>
          <wp:inline distT="0" distB="0" distL="0" distR="0" wp14:anchorId="6F2BE8EF" wp14:editId="029412F6">
            <wp:extent cx="2550249" cy="1847850"/>
            <wp:effectExtent l="0" t="0" r="2540" b="0"/>
            <wp:docPr id="7" name="Slika 7" descr="http://narodne-novine.nn.hr/clanci/sluzbeni/dodatni/4372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arodne-novine.nn.hr/clanci/sluzbeni/dodatni/43723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249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E91" w:rsidRDefault="00384E91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384E91" w:rsidRPr="00745E10" w:rsidRDefault="00384E91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PRILOG 5</w:t>
      </w:r>
      <w:r w:rsidRPr="00745E1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                                                                  </w:t>
      </w:r>
      <w:r w:rsidRPr="00745E10">
        <w:rPr>
          <w:rFonts w:ascii="Times New Roman" w:eastAsia="Times New Roman" w:hAnsi="Times New Roman" w:cs="Times New Roman"/>
          <w:color w:val="000000"/>
          <w:szCs w:val="24"/>
          <w:lang w:eastAsia="hr-HR"/>
        </w:rPr>
        <w:t>PRILOG 6.</w:t>
      </w:r>
    </w:p>
    <w:p w:rsidR="00745E10" w:rsidRPr="00745E10" w:rsidRDefault="00745E10" w:rsidP="00384E91">
      <w:pPr>
        <w:rPr>
          <w:rFonts w:ascii="Times New Roman" w:eastAsia="Times New Roman" w:hAnsi="Times New Roman" w:cs="Times New Roman"/>
          <w:color w:val="000000"/>
          <w:szCs w:val="24"/>
          <w:lang w:eastAsia="hr-HR"/>
        </w:rPr>
      </w:pPr>
    </w:p>
    <w:p w:rsidR="00384E91" w:rsidRDefault="00384E91" w:rsidP="00124DDE">
      <w:pPr>
        <w:rPr>
          <w:rFonts w:cs="Aria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Cs w:val="24"/>
          <w:lang w:eastAsia="hr-HR"/>
        </w:rPr>
        <w:drawing>
          <wp:inline distT="0" distB="0" distL="0" distR="0" wp14:anchorId="295D8F40" wp14:editId="054D42FA">
            <wp:extent cx="2438400" cy="1796786"/>
            <wp:effectExtent l="0" t="0" r="0" b="0"/>
            <wp:docPr id="2" name="Slika 2" descr="http://narodne-novine.nn.hr/clanci/sluzbeni/dodatni/4372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arodne-novine.nn.hr/clanci/sluzbeni/dodatni/437236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639" cy="180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Cs w:val="24"/>
          <w:lang w:eastAsia="hr-HR"/>
        </w:rPr>
        <w:t xml:space="preserve">     </w:t>
      </w:r>
      <w:r>
        <w:rPr>
          <w:rFonts w:ascii="Times New Roman" w:eastAsia="Times New Roman" w:hAnsi="Times New Roman" w:cs="Times New Roman"/>
          <w:noProof/>
          <w:color w:val="000000"/>
          <w:szCs w:val="24"/>
          <w:lang w:eastAsia="hr-HR"/>
        </w:rPr>
        <w:drawing>
          <wp:inline distT="0" distB="0" distL="0" distR="0" wp14:anchorId="000F1132" wp14:editId="5D134A42">
            <wp:extent cx="2514600" cy="1800225"/>
            <wp:effectExtent l="0" t="0" r="0" b="9525"/>
            <wp:docPr id="1" name="Slika 1" descr="http://narodne-novine.nn.hr/clanci/sluzbeni/dodatni/4372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narodne-novine.nn.hr/clanci/sluzbeni/dodatni/43723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411" cy="180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E9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A54" w:rsidRDefault="009D4A54" w:rsidP="00124DDE">
      <w:r>
        <w:separator/>
      </w:r>
    </w:p>
  </w:endnote>
  <w:endnote w:type="continuationSeparator" w:id="0">
    <w:p w:rsidR="009D4A54" w:rsidRDefault="009D4A54" w:rsidP="0012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DE" w:rsidRPr="00745E10" w:rsidRDefault="00745E10">
    <w:pPr>
      <w:pStyle w:val="Podnoje"/>
      <w:rPr>
        <w:i/>
        <w:color w:val="FF0000"/>
        <w:sz w:val="20"/>
        <w:szCs w:val="20"/>
      </w:rPr>
    </w:pPr>
    <w:r>
      <w:rPr>
        <w:i/>
        <w:sz w:val="20"/>
        <w:szCs w:val="20"/>
      </w:rPr>
      <w:t xml:space="preserve">Interno pročišćeni tekst   Pravilnika sadrži  </w:t>
    </w:r>
    <w:r w:rsidR="00124DDE" w:rsidRPr="00124DDE">
      <w:rPr>
        <w:i/>
        <w:sz w:val="20"/>
        <w:szCs w:val="20"/>
      </w:rPr>
      <w:t xml:space="preserve">NN  2/15 </w:t>
    </w:r>
    <w:r>
      <w:rPr>
        <w:i/>
        <w:sz w:val="20"/>
        <w:szCs w:val="20"/>
      </w:rPr>
      <w:t xml:space="preserve"> </w:t>
    </w:r>
    <w:r w:rsidR="00115C4E">
      <w:rPr>
        <w:i/>
        <w:sz w:val="20"/>
        <w:szCs w:val="20"/>
      </w:rPr>
      <w:t xml:space="preserve"> </w:t>
    </w:r>
    <w:r w:rsidRPr="00745E10">
      <w:rPr>
        <w:b/>
        <w:i/>
        <w:color w:val="548DD4" w:themeColor="text2" w:themeTint="99"/>
        <w:sz w:val="20"/>
        <w:szCs w:val="20"/>
      </w:rPr>
      <w:t>NN 3</w:t>
    </w:r>
    <w:r w:rsidR="00115C4E" w:rsidRPr="00745E10">
      <w:rPr>
        <w:b/>
        <w:i/>
        <w:color w:val="548DD4" w:themeColor="text2" w:themeTint="99"/>
        <w:sz w:val="20"/>
        <w:szCs w:val="20"/>
      </w:rPr>
      <w:t>7/15</w:t>
    </w:r>
    <w:r>
      <w:rPr>
        <w:i/>
        <w:color w:val="548DD4" w:themeColor="text2" w:themeTint="99"/>
        <w:sz w:val="20"/>
        <w:szCs w:val="20"/>
      </w:rPr>
      <w:t xml:space="preserve">  i   </w:t>
    </w:r>
    <w:r>
      <w:rPr>
        <w:i/>
        <w:color w:val="FF0000"/>
        <w:sz w:val="20"/>
        <w:szCs w:val="20"/>
      </w:rPr>
      <w:t>NN 87/15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A54" w:rsidRDefault="009D4A54" w:rsidP="00124DDE">
      <w:r>
        <w:separator/>
      </w:r>
    </w:p>
  </w:footnote>
  <w:footnote w:type="continuationSeparator" w:id="0">
    <w:p w:rsidR="009D4A54" w:rsidRDefault="009D4A54" w:rsidP="0012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DE"/>
    <w:rsid w:val="000F1B1C"/>
    <w:rsid w:val="0011428F"/>
    <w:rsid w:val="00115C4E"/>
    <w:rsid w:val="00124DDE"/>
    <w:rsid w:val="002050BD"/>
    <w:rsid w:val="00384E91"/>
    <w:rsid w:val="003F4129"/>
    <w:rsid w:val="00745E10"/>
    <w:rsid w:val="009135A8"/>
    <w:rsid w:val="009D4A54"/>
    <w:rsid w:val="00BB075F"/>
    <w:rsid w:val="00ED2BE1"/>
    <w:rsid w:val="00F5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szCs w:val="24"/>
      <w:lang w:eastAsia="hr-HR"/>
    </w:rPr>
  </w:style>
  <w:style w:type="paragraph" w:customStyle="1" w:styleId="t-12-9-fett-s">
    <w:name w:val="t-12-9-fett-s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124DDE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24D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4DDE"/>
  </w:style>
  <w:style w:type="paragraph" w:styleId="Podnoje">
    <w:name w:val="footer"/>
    <w:basedOn w:val="Normal"/>
    <w:link w:val="PodnojeChar"/>
    <w:uiPriority w:val="99"/>
    <w:unhideWhenUsed/>
    <w:rsid w:val="00124D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4DDE"/>
  </w:style>
  <w:style w:type="paragraph" w:customStyle="1" w:styleId="broj-d">
    <w:name w:val="broj-d"/>
    <w:basedOn w:val="Normal"/>
    <w:rsid w:val="00745E1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9-8-potpis">
    <w:name w:val="t-9-8-potpis"/>
    <w:basedOn w:val="Normal"/>
    <w:rsid w:val="00745E10"/>
    <w:pPr>
      <w:spacing w:before="100" w:beforeAutospacing="1" w:after="100" w:afterAutospacing="1"/>
      <w:ind w:left="7344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b-na18">
    <w:name w:val="tb-na18"/>
    <w:basedOn w:val="Normal"/>
    <w:rsid w:val="00745E1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klasa2">
    <w:name w:val="klasa2"/>
    <w:basedOn w:val="Normal"/>
    <w:rsid w:val="00745E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bold1">
    <w:name w:val="bold1"/>
    <w:basedOn w:val="Zadanifontodlomka"/>
    <w:rsid w:val="00745E10"/>
    <w:rPr>
      <w:b/>
      <w:bCs/>
    </w:rPr>
  </w:style>
  <w:style w:type="paragraph" w:customStyle="1" w:styleId="prilog">
    <w:name w:val="prilog"/>
    <w:basedOn w:val="Normal"/>
    <w:rsid w:val="00745E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slika">
    <w:name w:val="slika"/>
    <w:basedOn w:val="Normal"/>
    <w:rsid w:val="00745E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5E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szCs w:val="24"/>
      <w:lang w:eastAsia="hr-HR"/>
    </w:rPr>
  </w:style>
  <w:style w:type="paragraph" w:customStyle="1" w:styleId="t-12-9-fett-s">
    <w:name w:val="t-12-9-fett-s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8"/>
      <w:szCs w:val="28"/>
      <w:lang w:eastAsia="hr-HR"/>
    </w:rPr>
  </w:style>
  <w:style w:type="paragraph" w:customStyle="1" w:styleId="tb-na16">
    <w:name w:val="tb-na16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36"/>
      <w:szCs w:val="36"/>
      <w:lang w:eastAsia="hr-HR"/>
    </w:rPr>
  </w:style>
  <w:style w:type="paragraph" w:customStyle="1" w:styleId="clanak">
    <w:name w:val="clanak"/>
    <w:basedOn w:val="Normal"/>
    <w:rsid w:val="00124DDE"/>
    <w:pPr>
      <w:spacing w:before="100" w:beforeAutospacing="1" w:after="100" w:afterAutospacing="1"/>
      <w:jc w:val="center"/>
    </w:pPr>
    <w:rPr>
      <w:rFonts w:ascii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124DDE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24D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24DDE"/>
  </w:style>
  <w:style w:type="paragraph" w:styleId="Podnoje">
    <w:name w:val="footer"/>
    <w:basedOn w:val="Normal"/>
    <w:link w:val="PodnojeChar"/>
    <w:uiPriority w:val="99"/>
    <w:unhideWhenUsed/>
    <w:rsid w:val="00124D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24DDE"/>
  </w:style>
  <w:style w:type="paragraph" w:customStyle="1" w:styleId="broj-d">
    <w:name w:val="broj-d"/>
    <w:basedOn w:val="Normal"/>
    <w:rsid w:val="00745E10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6"/>
      <w:szCs w:val="26"/>
      <w:lang w:eastAsia="hr-HR"/>
    </w:rPr>
  </w:style>
  <w:style w:type="paragraph" w:customStyle="1" w:styleId="t-9-8-potpis">
    <w:name w:val="t-9-8-potpis"/>
    <w:basedOn w:val="Normal"/>
    <w:rsid w:val="00745E10"/>
    <w:pPr>
      <w:spacing w:before="100" w:beforeAutospacing="1" w:after="100" w:afterAutospacing="1"/>
      <w:ind w:left="7344"/>
      <w:jc w:val="center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b-na18">
    <w:name w:val="tb-na18"/>
    <w:basedOn w:val="Normal"/>
    <w:rsid w:val="00745E1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klasa2">
    <w:name w:val="klasa2"/>
    <w:basedOn w:val="Normal"/>
    <w:rsid w:val="00745E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bold1">
    <w:name w:val="bold1"/>
    <w:basedOn w:val="Zadanifontodlomka"/>
    <w:rsid w:val="00745E10"/>
    <w:rPr>
      <w:b/>
      <w:bCs/>
    </w:rPr>
  </w:style>
  <w:style w:type="paragraph" w:customStyle="1" w:styleId="prilog">
    <w:name w:val="prilog"/>
    <w:basedOn w:val="Normal"/>
    <w:rsid w:val="00745E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slika">
    <w:name w:val="slika"/>
    <w:basedOn w:val="Normal"/>
    <w:rsid w:val="00745E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5E1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5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0174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7187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21373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Komora</dc:creator>
  <cp:lastModifiedBy>Obrtnička Komora</cp:lastModifiedBy>
  <cp:revision>5</cp:revision>
  <dcterms:created xsi:type="dcterms:W3CDTF">2015-01-09T07:29:00Z</dcterms:created>
  <dcterms:modified xsi:type="dcterms:W3CDTF">2015-08-10T09:04:00Z</dcterms:modified>
</cp:coreProperties>
</file>